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16F589B" w:rsidR="00F92268" w:rsidRPr="00FF66BF" w:rsidRDefault="00E32058" w:rsidP="00F246C7">
            <w:pPr>
              <w:pStyle w:val="RefTableHeader"/>
            </w:pPr>
            <w:r w:rsidRPr="00E32058">
              <w:t>5102-A</w:t>
            </w:r>
          </w:p>
        </w:tc>
      </w:tr>
    </w:tbl>
    <w:p w14:paraId="74FBA5B4" w14:textId="77777777" w:rsidR="00051356" w:rsidRDefault="00051356" w:rsidP="00A672B3">
      <w:pPr>
        <w:pStyle w:val="BodyText"/>
        <w:rPr>
          <w:b/>
          <w:bCs/>
          <w:sz w:val="16"/>
          <w:szCs w:val="16"/>
        </w:rPr>
        <w:sectPr w:rsidR="00051356" w:rsidSect="00027DB3">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3138842" w:rsidR="004B15BB" w:rsidRPr="00BD1CC1" w:rsidRDefault="0096360E" w:rsidP="007C28C7">
      <w:pPr>
        <w:pStyle w:val="Heading1"/>
      </w:pPr>
      <w:r w:rsidRPr="0096360E">
        <w:t>Specialty Guideline Management</w:t>
      </w:r>
      <w:r w:rsidR="008C54D9" w:rsidRPr="00BD1CC1">
        <w:br/>
      </w:r>
      <w:proofErr w:type="spellStart"/>
      <w:r>
        <w:t>Vyvgart</w:t>
      </w:r>
      <w:r w:rsidR="003D1DC4">
        <w:t>-</w:t>
      </w:r>
      <w:r>
        <w:t>Vyvgart</w:t>
      </w:r>
      <w:proofErr w:type="spellEnd"/>
      <w:r>
        <w:t xml:space="preserve"> </w:t>
      </w:r>
      <w:proofErr w:type="spellStart"/>
      <w:r>
        <w:t>Hytrulo</w:t>
      </w:r>
      <w:proofErr w:type="spellEnd"/>
    </w:p>
    <w:p w14:paraId="78861C92" w14:textId="501A158B" w:rsidR="00203468" w:rsidRPr="00BD1CC1" w:rsidRDefault="00C64534" w:rsidP="008E0F0D">
      <w:pPr>
        <w:pStyle w:val="Heading2"/>
      </w:pPr>
      <w:r w:rsidRPr="00BD1CC1">
        <w:t xml:space="preserve">Products Referenced by this </w:t>
      </w:r>
      <w:r w:rsidR="00501602" w:rsidRPr="00BD1CC1">
        <w:t>Document</w:t>
      </w:r>
    </w:p>
    <w:p w14:paraId="5455152B" w14:textId="492596A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D1DC4">
        <w:t>Over-the-counter (</w:t>
      </w:r>
      <w:r w:rsidRPr="00BD1CC1">
        <w:t>OTC</w:t>
      </w:r>
      <w:r w:rsidR="003D1DC4">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E0EC6CF" w:rsidR="00585FFF" w:rsidRPr="00BD1CC1" w:rsidRDefault="0096360E" w:rsidP="00E82ABA">
            <w:pPr>
              <w:pStyle w:val="TableDataUnpadded"/>
            </w:pPr>
            <w:r>
              <w:t>Vyvgart</w:t>
            </w:r>
          </w:p>
        </w:tc>
        <w:tc>
          <w:tcPr>
            <w:tcW w:w="5595" w:type="dxa"/>
          </w:tcPr>
          <w:p w14:paraId="7E26A004" w14:textId="3A64430B" w:rsidR="00585FFF" w:rsidRPr="00BD1CC1" w:rsidRDefault="0096360E" w:rsidP="00E82ABA">
            <w:pPr>
              <w:pStyle w:val="TableDataUnpadded"/>
            </w:pPr>
            <w:r>
              <w:t>efgartigimod alfa-</w:t>
            </w:r>
            <w:proofErr w:type="spellStart"/>
            <w:r>
              <w:t>fcab</w:t>
            </w:r>
            <w:proofErr w:type="spellEnd"/>
          </w:p>
        </w:tc>
      </w:tr>
      <w:tr w:rsidR="00D21D0C" w:rsidRPr="00BD1CC1" w14:paraId="79C2A122" w14:textId="77777777" w:rsidTr="000C5A6F">
        <w:trPr>
          <w:cantSplit/>
        </w:trPr>
        <w:tc>
          <w:tcPr>
            <w:tcW w:w="5265" w:type="dxa"/>
          </w:tcPr>
          <w:p w14:paraId="08001603" w14:textId="64F14C24" w:rsidR="00D21D0C" w:rsidRPr="00BD1CC1" w:rsidRDefault="0096360E" w:rsidP="00E82ABA">
            <w:pPr>
              <w:pStyle w:val="TableDataUnpadded"/>
            </w:pPr>
            <w:proofErr w:type="spellStart"/>
            <w:r>
              <w:t>Vyvgart</w:t>
            </w:r>
            <w:proofErr w:type="spellEnd"/>
            <w:r>
              <w:t xml:space="preserve"> </w:t>
            </w:r>
            <w:proofErr w:type="spellStart"/>
            <w:r>
              <w:t>Hytrulo</w:t>
            </w:r>
            <w:proofErr w:type="spellEnd"/>
          </w:p>
        </w:tc>
        <w:tc>
          <w:tcPr>
            <w:tcW w:w="5595" w:type="dxa"/>
          </w:tcPr>
          <w:p w14:paraId="26C54A5D" w14:textId="168B2B3E" w:rsidR="00D21D0C" w:rsidRPr="00BD1CC1" w:rsidRDefault="0096360E" w:rsidP="00E82ABA">
            <w:pPr>
              <w:pStyle w:val="TableDataUnpadded"/>
            </w:pPr>
            <w:r>
              <w:t>efgartigimod alfa and hyaluronidase-</w:t>
            </w:r>
            <w:proofErr w:type="spellStart"/>
            <w:r>
              <w:t>qvfc</w:t>
            </w:r>
            <w:proofErr w:type="spellEnd"/>
          </w:p>
        </w:tc>
      </w:tr>
    </w:tbl>
    <w:bookmarkEnd w:id="0"/>
    <w:p w14:paraId="14CE6108" w14:textId="5EC49FD5" w:rsidR="00FC1AAD" w:rsidRDefault="00ED052F" w:rsidP="00AA2A94">
      <w:pPr>
        <w:pStyle w:val="Heading2"/>
        <w:tabs>
          <w:tab w:val="left" w:pos="9540"/>
        </w:tabs>
      </w:pPr>
      <w:r>
        <w:t>Indications</w:t>
      </w:r>
    </w:p>
    <w:p w14:paraId="575F8435" w14:textId="3F62D93B" w:rsidR="0096360E" w:rsidRPr="0096360E" w:rsidRDefault="0096360E" w:rsidP="0096360E">
      <w:pPr>
        <w:pStyle w:val="BodyText"/>
      </w:pPr>
      <w:r w:rsidRPr="0096360E">
        <w:t>The indications below including FDA-approved indications and compendial uses are considered a covered benefit provided that all the approval criteria are met and the member has no exclusions to the prescribed therapy</w:t>
      </w:r>
      <w:r>
        <w:t>.</w:t>
      </w:r>
    </w:p>
    <w:p w14:paraId="134B5687" w14:textId="6791ED42" w:rsidR="00ED052F" w:rsidRPr="00BD1CC1" w:rsidRDefault="00ED052F" w:rsidP="00ED052F">
      <w:pPr>
        <w:pStyle w:val="Heading3"/>
        <w:keepNext w:val="0"/>
      </w:pPr>
      <w:r w:rsidRPr="00BD1CC1">
        <w:t>FDA-approved Indications</w:t>
      </w:r>
      <w:r w:rsidR="007B15B4" w:rsidRPr="007B15B4">
        <w:rPr>
          <w:vertAlign w:val="superscript"/>
        </w:rPr>
        <w:t>1,2</w:t>
      </w:r>
    </w:p>
    <w:p w14:paraId="4C434745" w14:textId="2F5F27EA" w:rsidR="00ED052F" w:rsidRDefault="00AB7EF0" w:rsidP="00ED052F">
      <w:pPr>
        <w:pStyle w:val="BodyText"/>
      </w:pPr>
      <w:r w:rsidRPr="00AB7EF0">
        <w:t xml:space="preserve">Vyvgart </w:t>
      </w:r>
      <w:r w:rsidR="003D1DC4">
        <w:t>is</w:t>
      </w:r>
      <w:r w:rsidRPr="00AB7EF0">
        <w:t xml:space="preserve"> indicated for the treatment of generalized myasthenia gravis (</w:t>
      </w:r>
      <w:proofErr w:type="spellStart"/>
      <w:r w:rsidRPr="00AB7EF0">
        <w:t>gMG</w:t>
      </w:r>
      <w:proofErr w:type="spellEnd"/>
      <w:r w:rsidRPr="00AB7EF0">
        <w:t>) in adult patients who are anti-acetylcholine receptor (AChR) antibody positive</w:t>
      </w:r>
      <w:r w:rsidR="00ED052F" w:rsidRPr="00BD1CC1">
        <w:t>.</w:t>
      </w:r>
    </w:p>
    <w:p w14:paraId="015BA0CB" w14:textId="77777777" w:rsidR="00D93BFB" w:rsidRDefault="00D93BFB" w:rsidP="009A5649">
      <w:pPr>
        <w:pStyle w:val="BodyText"/>
        <w:rPr>
          <w:rFonts w:eastAsia="Arial"/>
        </w:rPr>
      </w:pPr>
      <w:proofErr w:type="spellStart"/>
      <w:r w:rsidRPr="00D93BFB">
        <w:rPr>
          <w:rFonts w:eastAsia="Arial"/>
        </w:rPr>
        <w:t>Vyvgart</w:t>
      </w:r>
      <w:proofErr w:type="spellEnd"/>
      <w:r w:rsidRPr="00D93BFB">
        <w:rPr>
          <w:rFonts w:eastAsia="Arial"/>
        </w:rPr>
        <w:t xml:space="preserve"> </w:t>
      </w:r>
      <w:proofErr w:type="spellStart"/>
      <w:r w:rsidRPr="00D93BFB">
        <w:rPr>
          <w:rFonts w:eastAsia="Arial"/>
        </w:rPr>
        <w:t>Hytrulo</w:t>
      </w:r>
      <w:proofErr w:type="spellEnd"/>
      <w:r w:rsidRPr="00D93BFB">
        <w:rPr>
          <w:rFonts w:eastAsia="Arial"/>
        </w:rPr>
        <w:t xml:space="preserve"> is indicated for the treatment of:</w:t>
      </w:r>
    </w:p>
    <w:p w14:paraId="1EEEED00" w14:textId="708B10F9" w:rsidR="00637364" w:rsidRPr="00637364" w:rsidRDefault="00637364" w:rsidP="004A3006">
      <w:pPr>
        <w:pStyle w:val="ListParagraph"/>
        <w:rPr>
          <w:rFonts w:eastAsia="Arial"/>
        </w:rPr>
      </w:pPr>
      <w:r w:rsidRPr="00637364">
        <w:rPr>
          <w:rFonts w:eastAsia="Arial"/>
        </w:rPr>
        <w:t>Generalized myasthenia gravis (</w:t>
      </w:r>
      <w:proofErr w:type="spellStart"/>
      <w:r w:rsidRPr="00637364">
        <w:rPr>
          <w:rFonts w:eastAsia="Arial"/>
        </w:rPr>
        <w:t>gMG</w:t>
      </w:r>
      <w:proofErr w:type="spellEnd"/>
      <w:r w:rsidRPr="00637364">
        <w:rPr>
          <w:rFonts w:eastAsia="Arial"/>
        </w:rPr>
        <w:t>) in adult patients who are anti-acetylcholine receptor (AChR) antibody positive.</w:t>
      </w:r>
    </w:p>
    <w:p w14:paraId="0D5A9DD5" w14:textId="4F06D145" w:rsidR="009A5649" w:rsidRDefault="00637364" w:rsidP="004A3006">
      <w:pPr>
        <w:pStyle w:val="ListParagraph"/>
        <w:rPr>
          <w:rFonts w:eastAsia="Arial"/>
        </w:rPr>
      </w:pPr>
      <w:r w:rsidRPr="00637364">
        <w:rPr>
          <w:rFonts w:eastAsia="Arial"/>
        </w:rPr>
        <w:t>Adult patients with chronic inflammatory demyelinating polyneuropathy (CIDP).</w:t>
      </w:r>
    </w:p>
    <w:p w14:paraId="22FDB662" w14:textId="09A45FB9" w:rsidR="00BB3FA9" w:rsidRPr="00BB3FA9" w:rsidRDefault="00BB3FA9" w:rsidP="004738B7">
      <w:pPr>
        <w:pStyle w:val="BodyText"/>
        <w:rPr>
          <w:rFonts w:eastAsia="Arial"/>
        </w:rPr>
      </w:pPr>
      <w:r w:rsidRPr="00AB7EF0">
        <w:t>All other indications are considered experimental/investigational and not medically necessary</w:t>
      </w:r>
      <w:r w:rsidRPr="00BB3FA9">
        <w:rPr>
          <w:rFonts w:eastAsia="Arial"/>
        </w:rPr>
        <w:t>.</w:t>
      </w:r>
    </w:p>
    <w:p w14:paraId="36381B6D" w14:textId="7D60CB11" w:rsidR="000D2496" w:rsidRPr="00BD1CC1" w:rsidRDefault="000D2496" w:rsidP="00E32058">
      <w:pPr>
        <w:pStyle w:val="Heading2"/>
        <w:tabs>
          <w:tab w:val="left" w:pos="9225"/>
        </w:tabs>
      </w:pPr>
      <w:r w:rsidRPr="00BD1CC1">
        <w:lastRenderedPageBreak/>
        <w:t>Documentation</w:t>
      </w:r>
    </w:p>
    <w:p w14:paraId="349EFF6D" w14:textId="77777777" w:rsidR="00AB7EF0" w:rsidRPr="00AB7EF0" w:rsidRDefault="00AB7EF0" w:rsidP="00AB7EF0">
      <w:pPr>
        <w:pStyle w:val="BodyText"/>
      </w:pPr>
      <w:r w:rsidRPr="00AB7EF0">
        <w:t>Submission of the following information is necessary to initiate the prior authorization review:</w:t>
      </w:r>
    </w:p>
    <w:p w14:paraId="67646689" w14:textId="77777777" w:rsidR="007806BF" w:rsidRDefault="00AB7EF0" w:rsidP="004A3006">
      <w:pPr>
        <w:pStyle w:val="ListParagraph"/>
      </w:pPr>
      <w:r w:rsidRPr="00AB7EF0">
        <w:t>For initial requests, chart notes, medical records, or claims history documenting:</w:t>
      </w:r>
    </w:p>
    <w:p w14:paraId="36B8C099" w14:textId="0554325F" w:rsidR="00CF4BE9" w:rsidRPr="00AB7EF0" w:rsidRDefault="007806BF" w:rsidP="004A3006">
      <w:pPr>
        <w:pStyle w:val="ListParagraph"/>
        <w:numPr>
          <w:ilvl w:val="1"/>
          <w:numId w:val="21"/>
        </w:numPr>
      </w:pPr>
      <w:r w:rsidRPr="007806BF">
        <w:t>Generalized myasthenia gravis:</w:t>
      </w:r>
    </w:p>
    <w:p w14:paraId="7EB7BC3B" w14:textId="5857A0D7" w:rsidR="00CF4BE9" w:rsidRPr="00AB7EF0" w:rsidRDefault="00AB7EF0" w:rsidP="004A3006">
      <w:pPr>
        <w:pStyle w:val="ListParagraph"/>
        <w:numPr>
          <w:ilvl w:val="2"/>
          <w:numId w:val="21"/>
        </w:numPr>
      </w:pPr>
      <w:r w:rsidRPr="00AB7EF0">
        <w:t>Positive anti-acetylcholine receptor (AChR) antibody test</w:t>
      </w:r>
    </w:p>
    <w:p w14:paraId="188FC590" w14:textId="73E2F2A1" w:rsidR="00CF4BE9" w:rsidRPr="00AB7EF0" w:rsidRDefault="00390FB3" w:rsidP="004A3006">
      <w:pPr>
        <w:pStyle w:val="ListParagraph"/>
        <w:numPr>
          <w:ilvl w:val="2"/>
          <w:numId w:val="21"/>
        </w:numPr>
      </w:pPr>
      <w:r w:rsidRPr="00390FB3">
        <w:t>Myasthenia Gravis Foundation of America (MGFA) clinical</w:t>
      </w:r>
      <w:r w:rsidR="00AB7EF0" w:rsidRPr="00AB7EF0">
        <w:t xml:space="preserve"> classification</w:t>
      </w:r>
    </w:p>
    <w:p w14:paraId="6F43FC44" w14:textId="381A2CA0" w:rsidR="00CF4BE9" w:rsidRPr="00AB7EF0" w:rsidRDefault="00AB7EF0" w:rsidP="004A3006">
      <w:pPr>
        <w:pStyle w:val="ListParagraph"/>
        <w:numPr>
          <w:ilvl w:val="2"/>
          <w:numId w:val="21"/>
        </w:numPr>
      </w:pPr>
      <w:r w:rsidRPr="00AB7EF0">
        <w:t xml:space="preserve">MG activities of daily living score </w:t>
      </w:r>
    </w:p>
    <w:p w14:paraId="097D390F" w14:textId="77777777" w:rsidR="00CF4BE9" w:rsidRDefault="00AB7EF0" w:rsidP="009E367A">
      <w:pPr>
        <w:pStyle w:val="ListParagraph"/>
        <w:numPr>
          <w:ilvl w:val="2"/>
          <w:numId w:val="21"/>
        </w:numPr>
      </w:pPr>
      <w:r w:rsidRPr="00AB7EF0">
        <w:t>Previous medications tried, including response to therapy. If therapy is not advisable, documentation of clinical reasons to avoid therapy.</w:t>
      </w:r>
    </w:p>
    <w:p w14:paraId="0890610D" w14:textId="77777777" w:rsidR="00CF4BE9" w:rsidRDefault="009E367A" w:rsidP="004A3006">
      <w:pPr>
        <w:pStyle w:val="ListParagraph"/>
        <w:numPr>
          <w:ilvl w:val="1"/>
          <w:numId w:val="21"/>
        </w:numPr>
      </w:pPr>
      <w:r w:rsidRPr="009E367A">
        <w:t>Chronic inflammatory demyelinating polyneuropathy:</w:t>
      </w:r>
    </w:p>
    <w:p w14:paraId="5E0158A8" w14:textId="77777777" w:rsidR="00CF4BE9" w:rsidRDefault="005F79E7" w:rsidP="004A3006">
      <w:pPr>
        <w:pStyle w:val="ListParagraph"/>
        <w:numPr>
          <w:ilvl w:val="2"/>
          <w:numId w:val="21"/>
        </w:numPr>
      </w:pPr>
      <w:r w:rsidRPr="005F79E7">
        <w:t>Electrodiagnostic testing (e.g., electromyography (EMG), nerve conduction studies (NCS))</w:t>
      </w:r>
    </w:p>
    <w:p w14:paraId="45F19F17" w14:textId="0C0BF206" w:rsidR="000511B6" w:rsidRPr="005F79E7" w:rsidRDefault="005F79E7" w:rsidP="004A3006">
      <w:pPr>
        <w:pStyle w:val="ListParagraph"/>
        <w:numPr>
          <w:ilvl w:val="2"/>
          <w:numId w:val="21"/>
        </w:numPr>
      </w:pPr>
      <w:r w:rsidRPr="005F79E7">
        <w:t>Previous therapies tried (e.g., immunoglobulins, corticosteroids, or plasma exchange), including response to therapy. If therapy is not advisable, documentation of clinical reasons to avoid therapy.</w:t>
      </w:r>
    </w:p>
    <w:p w14:paraId="5D4CD6F7" w14:textId="0A0B40D3" w:rsidR="00021C51" w:rsidRPr="002E46A9" w:rsidRDefault="00AB7EF0" w:rsidP="004A3006">
      <w:pPr>
        <w:pStyle w:val="ListParagraph"/>
      </w:pPr>
      <w:r w:rsidRPr="002E46A9">
        <w:t>For continuation requests: Chart notes or medical record documentation supporting positive clinical response</w:t>
      </w:r>
      <w:r w:rsidR="00021C51" w:rsidRPr="002E46A9">
        <w:t>.</w:t>
      </w:r>
    </w:p>
    <w:p w14:paraId="50A38FBA" w14:textId="006EB482" w:rsidR="00FE0C63" w:rsidRPr="00100B91" w:rsidRDefault="00685107" w:rsidP="00E050E1">
      <w:pPr>
        <w:pStyle w:val="Heading2"/>
      </w:pPr>
      <w:r>
        <w:t>Coverage Criteria</w:t>
      </w:r>
    </w:p>
    <w:p w14:paraId="1B8CE8C8" w14:textId="58323183" w:rsidR="00AB7EF0" w:rsidRPr="004803FA" w:rsidRDefault="00AB7EF0" w:rsidP="00AB7EF0">
      <w:pPr>
        <w:pStyle w:val="Heading3"/>
      </w:pPr>
      <w:r w:rsidRPr="004803FA">
        <w:t>Generalized myasthenia gravis (</w:t>
      </w:r>
      <w:proofErr w:type="spellStart"/>
      <w:r w:rsidRPr="004803FA">
        <w:t>gMG</w:t>
      </w:r>
      <w:proofErr w:type="spellEnd"/>
      <w:r w:rsidRPr="004803FA">
        <w:t>)</w:t>
      </w:r>
      <w:r w:rsidRPr="002E69B3">
        <w:rPr>
          <w:vertAlign w:val="superscript"/>
        </w:rPr>
        <w:t>1-</w:t>
      </w:r>
      <w:r w:rsidR="00316CB3">
        <w:rPr>
          <w:vertAlign w:val="superscript"/>
        </w:rPr>
        <w:t>5</w:t>
      </w:r>
    </w:p>
    <w:p w14:paraId="07CAF752" w14:textId="77777777" w:rsidR="00AB7EF0" w:rsidRPr="004803FA" w:rsidRDefault="00AB7EF0" w:rsidP="00AB7EF0">
      <w:pPr>
        <w:pStyle w:val="BodyText"/>
      </w:pPr>
      <w:r w:rsidRPr="004803FA">
        <w:t>Authorization of 6 months may be granted for treatment of generalized myasthenia gravis (</w:t>
      </w:r>
      <w:proofErr w:type="spellStart"/>
      <w:r w:rsidRPr="004803FA">
        <w:t>gMG</w:t>
      </w:r>
      <w:proofErr w:type="spellEnd"/>
      <w:r w:rsidRPr="004803FA">
        <w:t>) when all of the following criteria are met:</w:t>
      </w:r>
    </w:p>
    <w:p w14:paraId="107EB888" w14:textId="77777777" w:rsidR="00AB7EF0" w:rsidRPr="00AB7EF0" w:rsidRDefault="00AB7EF0" w:rsidP="00AB7EF0">
      <w:pPr>
        <w:pStyle w:val="ListParagraph"/>
        <w:numPr>
          <w:ilvl w:val="0"/>
          <w:numId w:val="34"/>
        </w:numPr>
        <w:tabs>
          <w:tab w:val="left" w:pos="1080"/>
        </w:tabs>
        <w:ind w:left="723"/>
        <w:textAlignment w:val="auto"/>
      </w:pPr>
      <w:r w:rsidRPr="00AB7EF0">
        <w:t>Anti-acetylcholine receptor (AChR) antibody positive</w:t>
      </w:r>
    </w:p>
    <w:p w14:paraId="6879E9EC" w14:textId="77777777" w:rsidR="00AB7EF0" w:rsidRPr="00AB7EF0" w:rsidRDefault="00AB7EF0" w:rsidP="00AB7EF0">
      <w:pPr>
        <w:pStyle w:val="ListParagraph"/>
        <w:numPr>
          <w:ilvl w:val="0"/>
          <w:numId w:val="34"/>
        </w:numPr>
        <w:ind w:left="723"/>
        <w:textAlignment w:val="auto"/>
      </w:pPr>
      <w:r w:rsidRPr="00AB7EF0">
        <w:t>Myasthenia Gravis Foundation of America (MGFA) clinical classification II to IV</w:t>
      </w:r>
    </w:p>
    <w:p w14:paraId="280FE0E2" w14:textId="77777777" w:rsidR="00AB7EF0" w:rsidRPr="00AB7EF0" w:rsidRDefault="00AB7EF0" w:rsidP="00AB7EF0">
      <w:pPr>
        <w:pStyle w:val="ListParagraph"/>
        <w:numPr>
          <w:ilvl w:val="0"/>
          <w:numId w:val="34"/>
        </w:numPr>
        <w:ind w:left="723"/>
        <w:textAlignment w:val="auto"/>
      </w:pPr>
      <w:r w:rsidRPr="00AB7EF0">
        <w:t>MG activities of daily living (MG-ADL) total score of greater than or equal to 5</w:t>
      </w:r>
    </w:p>
    <w:p w14:paraId="04330DAE" w14:textId="52BD65C7" w:rsidR="00AB7EF0" w:rsidRPr="00AB7EF0" w:rsidRDefault="00AB7EF0" w:rsidP="00AB7EF0">
      <w:pPr>
        <w:pStyle w:val="ListParagraph"/>
        <w:numPr>
          <w:ilvl w:val="0"/>
          <w:numId w:val="34"/>
        </w:numPr>
        <w:ind w:left="723"/>
        <w:textAlignment w:val="auto"/>
      </w:pPr>
      <w:r w:rsidRPr="00AB7EF0">
        <w:t xml:space="preserve">Meets one of the following: </w:t>
      </w:r>
    </w:p>
    <w:p w14:paraId="35A07BF1" w14:textId="77777777" w:rsidR="00AB7EF0" w:rsidRPr="00AB7EF0" w:rsidRDefault="00AB7EF0" w:rsidP="00AB7EF0">
      <w:pPr>
        <w:numPr>
          <w:ilvl w:val="0"/>
          <w:numId w:val="35"/>
        </w:numPr>
        <w:spacing w:after="60"/>
        <w:ind w:left="1080" w:right="374"/>
        <w:contextualSpacing/>
        <w:rPr>
          <w:rFonts w:cs="Arial"/>
          <w:szCs w:val="22"/>
        </w:rPr>
      </w:pPr>
      <w:r w:rsidRPr="00AB7EF0">
        <w:rPr>
          <w:rFonts w:cs="Arial"/>
          <w:szCs w:val="22"/>
        </w:rPr>
        <w:t>Member has had an inadequate response or intolerable adverse event to at least two immunosuppressive therapies over the course of at least 12 months (e.g., azathioprine, corticosteroids, cyclosporine, methotrexate, mycophenolate, tacrolimus)</w:t>
      </w:r>
    </w:p>
    <w:p w14:paraId="68BF9B13" w14:textId="77777777" w:rsidR="00AB7EF0" w:rsidRPr="00AB7EF0" w:rsidRDefault="00AB7EF0" w:rsidP="00AB7EF0">
      <w:pPr>
        <w:numPr>
          <w:ilvl w:val="0"/>
          <w:numId w:val="35"/>
        </w:numPr>
        <w:spacing w:after="60"/>
        <w:ind w:left="1080" w:right="374"/>
        <w:contextualSpacing/>
        <w:rPr>
          <w:rFonts w:cs="Arial"/>
          <w:szCs w:val="22"/>
        </w:rPr>
      </w:pPr>
      <w:r w:rsidRPr="00AB7EF0">
        <w:rPr>
          <w:rFonts w:cs="Arial"/>
          <w:szCs w:val="22"/>
        </w:rPr>
        <w:t>Member has had an inadequate response or intolerable adverse event to at least one immunosuppressive therapy and intravenous immunoglobulin (IVIG) over the course of at least 12 months</w:t>
      </w:r>
    </w:p>
    <w:p w14:paraId="5B29272E" w14:textId="196CDB7A" w:rsidR="00D06DE7" w:rsidRDefault="00AB7EF0" w:rsidP="00165258">
      <w:pPr>
        <w:numPr>
          <w:ilvl w:val="0"/>
          <w:numId w:val="35"/>
        </w:numPr>
        <w:spacing w:after="60"/>
        <w:ind w:left="1080" w:right="374"/>
        <w:contextualSpacing/>
        <w:rPr>
          <w:rFonts w:cs="Arial"/>
          <w:szCs w:val="22"/>
        </w:rPr>
      </w:pPr>
      <w:r w:rsidRPr="00AB7EF0">
        <w:rPr>
          <w:rFonts w:cs="Arial"/>
          <w:szCs w:val="22"/>
        </w:rPr>
        <w:t>Member has a documented clinical reason to avoid therapy with immunosuppressive agents and IVIG</w:t>
      </w:r>
      <w:r w:rsidR="00EB6FA0">
        <w:rPr>
          <w:rFonts w:cs="Arial"/>
          <w:szCs w:val="22"/>
        </w:rPr>
        <w:t xml:space="preserve"> </w:t>
      </w:r>
    </w:p>
    <w:p w14:paraId="023614D9" w14:textId="79A3622E" w:rsidR="00EB6FA0" w:rsidRDefault="00EB6FA0" w:rsidP="00EB6FA0">
      <w:pPr>
        <w:pStyle w:val="ListParagraph"/>
      </w:pPr>
      <w:r w:rsidRPr="00EB6FA0">
        <w:t xml:space="preserve">The requested medication will not be used in combination with another neonatal Fc receptor blocker (e.g., Rystiggo) or complement inhibitor (e.g., Soliris, </w:t>
      </w:r>
      <w:proofErr w:type="spellStart"/>
      <w:r w:rsidRPr="00EB6FA0">
        <w:t>Ultomiris</w:t>
      </w:r>
      <w:proofErr w:type="spellEnd"/>
      <w:r w:rsidRPr="00EB6FA0">
        <w:t xml:space="preserve">, </w:t>
      </w:r>
      <w:proofErr w:type="spellStart"/>
      <w:r w:rsidRPr="00EB6FA0">
        <w:t>Zilbrysq</w:t>
      </w:r>
      <w:proofErr w:type="spellEnd"/>
      <w:r w:rsidRPr="00EB6FA0">
        <w:t>)</w:t>
      </w:r>
    </w:p>
    <w:p w14:paraId="14741B76" w14:textId="19EB1D57" w:rsidR="00A3181C" w:rsidRDefault="00F70941" w:rsidP="00F70941">
      <w:pPr>
        <w:pStyle w:val="Heading3"/>
        <w:rPr>
          <w:vertAlign w:val="superscript"/>
        </w:rPr>
      </w:pPr>
      <w:r w:rsidRPr="00F70941">
        <w:lastRenderedPageBreak/>
        <w:t>Chronic inflammatory demyelinating polyneuropathy (CIDP) (</w:t>
      </w:r>
      <w:proofErr w:type="spellStart"/>
      <w:r w:rsidRPr="00F70941">
        <w:t>Vyvgart</w:t>
      </w:r>
      <w:proofErr w:type="spellEnd"/>
      <w:r w:rsidRPr="00F70941">
        <w:t xml:space="preserve"> </w:t>
      </w:r>
      <w:proofErr w:type="spellStart"/>
      <w:r w:rsidRPr="00F70941">
        <w:t>Hytrulo</w:t>
      </w:r>
      <w:proofErr w:type="spellEnd"/>
      <w:r w:rsidRPr="00F70941">
        <w:t xml:space="preserve"> Only)</w:t>
      </w:r>
      <w:r w:rsidRPr="00F70941">
        <w:rPr>
          <w:vertAlign w:val="superscript"/>
        </w:rPr>
        <w:t>2,</w:t>
      </w:r>
      <w:r w:rsidR="00BB2595">
        <w:rPr>
          <w:vertAlign w:val="superscript"/>
        </w:rPr>
        <w:t>6</w:t>
      </w:r>
    </w:p>
    <w:p w14:paraId="5E0BE9CD" w14:textId="77777777" w:rsidR="0032669A" w:rsidRPr="0032669A" w:rsidRDefault="0032669A" w:rsidP="0032669A">
      <w:pPr>
        <w:pStyle w:val="BodyText"/>
      </w:pPr>
      <w:r w:rsidRPr="0032669A">
        <w:t>Authorization of 6 months may be granted for treatment of chronic inflammatory demyelinating polyneuropathy (CIDP) when all of the following criteria are met:</w:t>
      </w:r>
    </w:p>
    <w:p w14:paraId="0A153870" w14:textId="77777777" w:rsidR="0032669A" w:rsidRPr="0032669A" w:rsidRDefault="0032669A" w:rsidP="004A3006">
      <w:pPr>
        <w:pStyle w:val="ListParagraph"/>
      </w:pPr>
      <w:r w:rsidRPr="0032669A">
        <w:t>Disease course is progressive or relapsing/remitting for 2 months or longer</w:t>
      </w:r>
    </w:p>
    <w:p w14:paraId="6B22E7CB" w14:textId="77777777" w:rsidR="0032669A" w:rsidRPr="0032669A" w:rsidRDefault="0032669A" w:rsidP="004A3006">
      <w:pPr>
        <w:pStyle w:val="ListParagraph"/>
      </w:pPr>
      <w:r w:rsidRPr="0032669A">
        <w:t>Diagnosis was confirmed by electrodiagnostic testing (consistent with EFNS/PNS guidelines)</w:t>
      </w:r>
    </w:p>
    <w:p w14:paraId="35233F0C" w14:textId="77777777" w:rsidR="0032669A" w:rsidRPr="0032669A" w:rsidRDefault="0032669A" w:rsidP="004A3006">
      <w:pPr>
        <w:pStyle w:val="ListParagraph"/>
      </w:pPr>
      <w:r w:rsidRPr="0032669A">
        <w:t>Meets one of the following:</w:t>
      </w:r>
    </w:p>
    <w:p w14:paraId="24368335" w14:textId="77777777" w:rsidR="0032669A" w:rsidRPr="0032669A" w:rsidRDefault="0032669A" w:rsidP="004A3006">
      <w:pPr>
        <w:pStyle w:val="ListParagraph"/>
        <w:numPr>
          <w:ilvl w:val="1"/>
          <w:numId w:val="21"/>
        </w:numPr>
      </w:pPr>
      <w:r w:rsidRPr="0032669A">
        <w:t>Member has had an inadequate response or intolerable adverse event to immunoglobulins, corticosteroids, or plasma exchange</w:t>
      </w:r>
    </w:p>
    <w:p w14:paraId="6F2CC0EF" w14:textId="5A54458B" w:rsidR="00F70941" w:rsidRPr="0032669A" w:rsidRDefault="0032669A" w:rsidP="004A3006">
      <w:pPr>
        <w:pStyle w:val="ListParagraph"/>
        <w:numPr>
          <w:ilvl w:val="1"/>
          <w:numId w:val="21"/>
        </w:numPr>
      </w:pPr>
      <w:r w:rsidRPr="0032669A">
        <w:t>Member has a documented clinical reason to avoid therapy with immunoglobulins, corticosteroids, or plasma exchange</w:t>
      </w:r>
    </w:p>
    <w:p w14:paraId="3A643EC3" w14:textId="705BA75D" w:rsidR="00A501AC" w:rsidRPr="00BD1CC1" w:rsidRDefault="00A501AC" w:rsidP="00A501AC">
      <w:pPr>
        <w:pStyle w:val="Heading2"/>
      </w:pPr>
      <w:r w:rsidRPr="00BD1CC1">
        <w:t>Continuation of Therapy</w:t>
      </w:r>
    </w:p>
    <w:p w14:paraId="6B6D0051" w14:textId="77777777" w:rsidR="00921DCC" w:rsidRDefault="00DA5492" w:rsidP="00A501AC">
      <w:pPr>
        <w:pStyle w:val="BodyText"/>
      </w:pPr>
      <w:r w:rsidRPr="00DA5492">
        <w:t xml:space="preserve">Authorization of 12 months may be granted for continued treatment </w:t>
      </w:r>
      <w:r w:rsidR="004B6A74" w:rsidRPr="004B6A74">
        <w:t>of generalized myasthenia gravis (</w:t>
      </w:r>
      <w:proofErr w:type="spellStart"/>
      <w:r w:rsidR="004B6A74" w:rsidRPr="004B6A74">
        <w:t>gMG</w:t>
      </w:r>
      <w:proofErr w:type="spellEnd"/>
      <w:r w:rsidR="004B6A74" w:rsidRPr="004B6A74">
        <w:t>)</w:t>
      </w:r>
      <w:r w:rsidR="004B6A74">
        <w:t xml:space="preserve"> </w:t>
      </w:r>
      <w:r w:rsidRPr="00DA5492">
        <w:t xml:space="preserve">in members requesting reauthorization when </w:t>
      </w:r>
      <w:r w:rsidR="00921DCC" w:rsidRPr="00921DCC">
        <w:t>all of the following criteria are met:</w:t>
      </w:r>
    </w:p>
    <w:p w14:paraId="121B67EA" w14:textId="39115D76" w:rsidR="00921DCC" w:rsidRDefault="00921DCC" w:rsidP="00921DCC">
      <w:pPr>
        <w:pStyle w:val="ListParagraph"/>
      </w:pPr>
      <w:r>
        <w:t>T</w:t>
      </w:r>
      <w:r w:rsidRPr="00DA5492">
        <w:t xml:space="preserve">here </w:t>
      </w:r>
      <w:r w:rsidR="00DA5492" w:rsidRPr="00DA5492">
        <w:t>is no evidence of unacceptable toxicity or disease progression while on the current regimen</w:t>
      </w:r>
    </w:p>
    <w:p w14:paraId="39DE0018" w14:textId="1B0DCD60" w:rsidR="00A501AC" w:rsidRDefault="009C1538" w:rsidP="00921DCC">
      <w:pPr>
        <w:pStyle w:val="ListParagraph"/>
      </w:pPr>
      <w:r>
        <w:t>M</w:t>
      </w:r>
      <w:r w:rsidR="00DA5492" w:rsidRPr="00DA5492">
        <w:t>ember demonstrates a positive response to therapy (e.g., improvement in MG-ADL score, MG Manual Muscle Test (MMT), MG Composite)</w:t>
      </w:r>
    </w:p>
    <w:p w14:paraId="2EE048A1" w14:textId="4C0DA994" w:rsidR="00893A78" w:rsidRDefault="00481D57" w:rsidP="00921DCC">
      <w:pPr>
        <w:pStyle w:val="ListParagraph"/>
      </w:pPr>
      <w:r w:rsidRPr="00481D57">
        <w:t xml:space="preserve">The requested medication will not be used in combination with another neonatal Fc receptor blocker (e.g., Rystiggo) or complement inhibitor (e.g., Soliris, </w:t>
      </w:r>
      <w:proofErr w:type="spellStart"/>
      <w:r w:rsidRPr="00481D57">
        <w:t>Ultomiris</w:t>
      </w:r>
      <w:proofErr w:type="spellEnd"/>
      <w:r w:rsidRPr="00481D57">
        <w:t xml:space="preserve">, </w:t>
      </w:r>
      <w:proofErr w:type="spellStart"/>
      <w:r w:rsidRPr="00481D57">
        <w:t>Zilbrysq</w:t>
      </w:r>
      <w:proofErr w:type="spellEnd"/>
      <w:r w:rsidRPr="00481D57">
        <w:t>)</w:t>
      </w:r>
    </w:p>
    <w:p w14:paraId="3697DBF1" w14:textId="464367BC" w:rsidR="00777595" w:rsidRDefault="00777595" w:rsidP="00777595">
      <w:pPr>
        <w:pStyle w:val="Heading3"/>
      </w:pPr>
      <w:r w:rsidRPr="00777595">
        <w:t>Chronic inflammatory demyelinating polyneuropathy (CIDP) (</w:t>
      </w:r>
      <w:proofErr w:type="spellStart"/>
      <w:r w:rsidRPr="00777595">
        <w:t>Vyvgart</w:t>
      </w:r>
      <w:proofErr w:type="spellEnd"/>
      <w:r w:rsidRPr="00777595">
        <w:t xml:space="preserve"> </w:t>
      </w:r>
      <w:proofErr w:type="spellStart"/>
      <w:r w:rsidRPr="00777595">
        <w:t>Hytrulo</w:t>
      </w:r>
      <w:proofErr w:type="spellEnd"/>
      <w:r w:rsidRPr="00777595">
        <w:t xml:space="preserve"> Only)</w:t>
      </w:r>
    </w:p>
    <w:p w14:paraId="642FDF18" w14:textId="77777777" w:rsidR="007A051A" w:rsidRPr="007A051A" w:rsidRDefault="007A051A" w:rsidP="007A051A">
      <w:pPr>
        <w:pStyle w:val="BodyText"/>
      </w:pPr>
      <w:r w:rsidRPr="007A051A">
        <w:t>Authorization of 12 months may be granted for treatment of chronic inflammatory demyelinating polyneuropathy (CIDP) when all of the following criteria are met:</w:t>
      </w:r>
    </w:p>
    <w:p w14:paraId="1B8E7E7A" w14:textId="77777777" w:rsidR="007A051A" w:rsidRPr="007A051A" w:rsidRDefault="007A051A" w:rsidP="004A3006">
      <w:pPr>
        <w:pStyle w:val="ListParagraph"/>
      </w:pPr>
      <w:r w:rsidRPr="007A051A">
        <w:t>There is no evidence of unacceptable toxicity or disease progression while on the current regimen</w:t>
      </w:r>
    </w:p>
    <w:p w14:paraId="0F8288E1" w14:textId="561E272A" w:rsidR="00777595" w:rsidRPr="007A051A" w:rsidRDefault="007A051A" w:rsidP="004A3006">
      <w:pPr>
        <w:pStyle w:val="ListParagraph"/>
      </w:pPr>
      <w:r w:rsidRPr="007A051A">
        <w:t>Member demonstrates a positive response to therapy (e.g., improvement in Inflammatory Rasch-built Overall Disability Scale (I-RODS), Inflammatory Neuropathy Cause and Treatment (INCAT) disability scale, Medical Research Council (MRC) Sum score, grip strength)</w:t>
      </w:r>
    </w:p>
    <w:p w14:paraId="10DA4309" w14:textId="5B1B7E2C" w:rsidR="00FF66BF" w:rsidRPr="008D1B34" w:rsidRDefault="00FF66BF" w:rsidP="00FF66BF">
      <w:pPr>
        <w:pStyle w:val="Heading2"/>
      </w:pPr>
      <w:r w:rsidRPr="008D1B34">
        <w:t>References</w:t>
      </w:r>
    </w:p>
    <w:p w14:paraId="48A8C3B8" w14:textId="7D2287CE" w:rsidR="002A1EC6" w:rsidRDefault="002A1EC6" w:rsidP="002A1EC6">
      <w:pPr>
        <w:pStyle w:val="ReferenceOrdered"/>
      </w:pPr>
      <w:r>
        <w:t xml:space="preserve">Vyvgart [package insert]. Boston, MA: </w:t>
      </w:r>
      <w:proofErr w:type="spellStart"/>
      <w:r>
        <w:t>Argenx</w:t>
      </w:r>
      <w:proofErr w:type="spellEnd"/>
      <w:r>
        <w:t xml:space="preserve"> US, Inc.; </w:t>
      </w:r>
      <w:r w:rsidR="00F87AB7">
        <w:t xml:space="preserve">June </w:t>
      </w:r>
      <w:r>
        <w:t>2024.</w:t>
      </w:r>
    </w:p>
    <w:p w14:paraId="0D6951EC" w14:textId="77777777" w:rsidR="002A1EC6" w:rsidRDefault="002A1EC6" w:rsidP="002A1EC6">
      <w:pPr>
        <w:pStyle w:val="ReferenceOrdered"/>
      </w:pPr>
      <w:proofErr w:type="spellStart"/>
      <w:r>
        <w:lastRenderedPageBreak/>
        <w:t>Vyvgart</w:t>
      </w:r>
      <w:proofErr w:type="spellEnd"/>
      <w:r>
        <w:t xml:space="preserve"> </w:t>
      </w:r>
      <w:proofErr w:type="spellStart"/>
      <w:r>
        <w:t>Hytrulo</w:t>
      </w:r>
      <w:proofErr w:type="spellEnd"/>
      <w:r>
        <w:t xml:space="preserve"> [package insert]. Boston, MA: </w:t>
      </w:r>
      <w:proofErr w:type="spellStart"/>
      <w:r>
        <w:t>Argenx</w:t>
      </w:r>
      <w:proofErr w:type="spellEnd"/>
      <w:r>
        <w:t xml:space="preserve"> US. Inc.; January 2024. </w:t>
      </w:r>
    </w:p>
    <w:p w14:paraId="1C7889AD" w14:textId="77777777" w:rsidR="002A1EC6" w:rsidRDefault="002A1EC6" w:rsidP="002A1EC6">
      <w:pPr>
        <w:pStyle w:val="ReferenceOrdered"/>
      </w:pPr>
      <w:r w:rsidRPr="002A1EC6">
        <w:rPr>
          <w:lang w:val="de-DE"/>
        </w:rPr>
        <w:t xml:space="preserve">Sanders D, Wolfe G, Benatar M et al. </w:t>
      </w:r>
      <w:r>
        <w:t>International consensus guidance for management of myasthenia gravis. Neurology. 2021; 96 (3) 114-122.</w:t>
      </w:r>
    </w:p>
    <w:p w14:paraId="57467B80" w14:textId="77777777" w:rsidR="002A1EC6" w:rsidRDefault="002A1EC6" w:rsidP="002A1EC6">
      <w:pPr>
        <w:pStyle w:val="ReferenceOrdered"/>
      </w:pPr>
      <w:r w:rsidRPr="002A1EC6">
        <w:rPr>
          <w:lang w:val="de-DE"/>
        </w:rPr>
        <w:t xml:space="preserve">Howard JF, Bril V, Vu T, et al. </w:t>
      </w:r>
      <w:r>
        <w:t xml:space="preserve">Safety, efficacy, and tolerability of efgartigimod in patients with </w:t>
      </w:r>
      <w:proofErr w:type="spellStart"/>
      <w:r>
        <w:t>generalised</w:t>
      </w:r>
      <w:proofErr w:type="spellEnd"/>
      <w:r>
        <w:t xml:space="preserve"> myasthenia gravis (ADAPT): a </w:t>
      </w:r>
      <w:proofErr w:type="spellStart"/>
      <w:r>
        <w:t>multicentre</w:t>
      </w:r>
      <w:proofErr w:type="spellEnd"/>
      <w:r>
        <w:t xml:space="preserve">, </w:t>
      </w:r>
      <w:proofErr w:type="spellStart"/>
      <w:r>
        <w:t>randomised</w:t>
      </w:r>
      <w:proofErr w:type="spellEnd"/>
      <w:r>
        <w:t>, placebo-controlled, phase 3 trial. Lancet Neurol. 2021. 20:526-536.</w:t>
      </w:r>
    </w:p>
    <w:p w14:paraId="45FCCC8B" w14:textId="77777777" w:rsidR="002A1EC6" w:rsidRDefault="002A1EC6" w:rsidP="002A1EC6">
      <w:pPr>
        <w:pStyle w:val="ReferenceOrdered"/>
      </w:pPr>
      <w:r w:rsidRPr="002A1EC6">
        <w:rPr>
          <w:lang w:val="de-DE"/>
        </w:rPr>
        <w:t xml:space="preserve">Barnett C, Herbelin L, Dimachkie MM, Barohn RJ. </w:t>
      </w:r>
      <w:r>
        <w:t>Measuring Clinical Treatment Response in Myasthenia Gravis. Neurol Clin. 2018 May;36(2):339-353.</w:t>
      </w:r>
    </w:p>
    <w:p w14:paraId="47E1A10C" w14:textId="39994207" w:rsidR="00C44990" w:rsidRPr="004A3006" w:rsidRDefault="007D73FA" w:rsidP="004A3006">
      <w:pPr>
        <w:pStyle w:val="ReferenceOrdered"/>
      </w:pPr>
      <w:r w:rsidRPr="007D73FA">
        <w:t xml:space="preserve">Van den Bergh PY, Hadden RD, van </w:t>
      </w:r>
      <w:proofErr w:type="spellStart"/>
      <w:r w:rsidRPr="007D73FA">
        <w:t>Doorn</w:t>
      </w:r>
      <w:proofErr w:type="spellEnd"/>
      <w:r w:rsidRPr="007D73FA">
        <w:t xml:space="preserve"> PA, et al. European Federation of Neurological Societies/Peripheral Nerve Society guideline on management of chronic inflammatory demyelinating polyradiculoneuropathy: report of a joint task force of the European Federation of Neurological Societies and the Peripheral Nerve Society </w:t>
      </w:r>
      <w:r>
        <w:t>–</w:t>
      </w:r>
      <w:r w:rsidRPr="007D73FA">
        <w:t xml:space="preserve"> second revision. </w:t>
      </w:r>
      <w:proofErr w:type="spellStart"/>
      <w:r w:rsidRPr="007D73FA">
        <w:rPr>
          <w:i/>
        </w:rPr>
        <w:t>Eur</w:t>
      </w:r>
      <w:proofErr w:type="spellEnd"/>
      <w:r w:rsidRPr="007D73FA">
        <w:rPr>
          <w:i/>
        </w:rPr>
        <w:t xml:space="preserve"> J Neurol</w:t>
      </w:r>
      <w:r w:rsidRPr="007D73FA">
        <w:t>. 2021;28(11):3556-3583.</w:t>
      </w:r>
    </w:p>
    <w:sectPr w:rsidR="00C44990" w:rsidRPr="004A3006" w:rsidSect="004A3006">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D14D4" w14:textId="77777777" w:rsidR="002771FE" w:rsidRDefault="002771FE">
      <w:r>
        <w:separator/>
      </w:r>
    </w:p>
  </w:endnote>
  <w:endnote w:type="continuationSeparator" w:id="0">
    <w:p w14:paraId="6E945473" w14:textId="77777777" w:rsidR="002771FE" w:rsidRDefault="002771FE">
      <w:r>
        <w:continuationSeparator/>
      </w:r>
    </w:p>
  </w:endnote>
  <w:endnote w:type="continuationNotice" w:id="1">
    <w:p w14:paraId="7198125F" w14:textId="77777777" w:rsidR="002771FE" w:rsidRDefault="002771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24B6D8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934FA" w:rsidRPr="002934FA">
      <w:rPr>
        <w:rFonts w:cs="Arial"/>
        <w:noProof/>
        <w:sz w:val="16"/>
        <w:szCs w:val="16"/>
      </w:rPr>
      <w:t>Vyvgart-Vyvgart</w:t>
    </w:r>
    <w:r w:rsidR="002934FA">
      <w:rPr>
        <w:rFonts w:cs="Arial"/>
        <w:noProof/>
        <w:snapToGrid w:val="0"/>
        <w:color w:val="000000"/>
        <w:sz w:val="16"/>
        <w:szCs w:val="16"/>
      </w:rPr>
      <w:t xml:space="preserve"> Hytrulo SGM</w:t>
    </w:r>
    <w:r w:rsidR="002934FA" w:rsidRPr="002934FA">
      <w:rPr>
        <w:rFonts w:cs="Arial"/>
        <w:noProof/>
        <w:sz w:val="16"/>
        <w:szCs w:val="16"/>
      </w:rPr>
      <w:t xml:space="preserve"> 5102-A</w:t>
    </w:r>
    <w:r w:rsidR="002934FA">
      <w:rPr>
        <w:rFonts w:cs="Arial"/>
        <w:noProof/>
        <w:snapToGrid w:val="0"/>
        <w:color w:val="000000"/>
        <w:sz w:val="16"/>
        <w:szCs w:val="16"/>
      </w:rPr>
      <w:t xml:space="preserve"> P2024a_R.docx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BB600E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BCD75CD" w:rsidR="00F75C81" w:rsidRPr="00AA1E6A" w:rsidRDefault="00C36B72" w:rsidP="004A300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0A4B0" w14:textId="63CA6FFF" w:rsidR="00D015E7" w:rsidRPr="004159B2" w:rsidRDefault="00D015E7" w:rsidP="002934FA">
    <w:pPr>
      <w:tabs>
        <w:tab w:val="right" w:pos="10710"/>
      </w:tabs>
      <w:spacing w:before="120" w:after="120"/>
      <w:rPr>
        <w:rFonts w:cs="Arial"/>
        <w:snapToGrid w:val="0"/>
        <w:color w:val="000000"/>
        <w:sz w:val="16"/>
      </w:rPr>
    </w:pPr>
    <w:r w:rsidRPr="004159B2">
      <w:rPr>
        <w:rFonts w:cs="Arial"/>
        <w:noProof/>
        <w:snapToGrid w:val="0"/>
        <w:color w:val="000000"/>
        <w:sz w:val="16"/>
        <w:szCs w:val="16"/>
      </w:rPr>
      <w:fldChar w:fldCharType="begin"/>
    </w:r>
    <w:r w:rsidRPr="004159B2">
      <w:rPr>
        <w:rFonts w:cs="Arial"/>
        <w:noProof/>
        <w:snapToGrid w:val="0"/>
        <w:color w:val="000000"/>
        <w:sz w:val="16"/>
        <w:szCs w:val="16"/>
      </w:rPr>
      <w:instrText xml:space="preserve"> FILENAME \* MERGEFORMAT </w:instrText>
    </w:r>
    <w:r w:rsidRPr="004159B2">
      <w:rPr>
        <w:rFonts w:cs="Arial"/>
        <w:noProof/>
        <w:snapToGrid w:val="0"/>
        <w:color w:val="000000"/>
        <w:sz w:val="16"/>
        <w:szCs w:val="16"/>
      </w:rPr>
      <w:fldChar w:fldCharType="separate"/>
    </w:r>
    <w:r w:rsidR="002934FA">
      <w:rPr>
        <w:rFonts w:cs="Arial"/>
        <w:noProof/>
        <w:snapToGrid w:val="0"/>
        <w:color w:val="000000"/>
        <w:sz w:val="16"/>
        <w:szCs w:val="16"/>
      </w:rPr>
      <w:t>Vyvgart-Vyvgart Hytrulo SGM 5102-A P2024a_R.docx</w:t>
    </w:r>
    <w:r w:rsidRPr="004159B2">
      <w:rPr>
        <w:rFonts w:cs="Arial"/>
        <w:noProof/>
        <w:snapToGrid w:val="0"/>
        <w:color w:val="000000"/>
        <w:sz w:val="16"/>
        <w:szCs w:val="16"/>
      </w:rPr>
      <w:fldChar w:fldCharType="end"/>
    </w:r>
    <w:r w:rsidRPr="004159B2">
      <w:rPr>
        <w:rFonts w:cs="Arial"/>
        <w:snapToGrid w:val="0"/>
        <w:color w:val="000000"/>
        <w:sz w:val="16"/>
      </w:rPr>
      <w:tab/>
      <w:t>© 2024 CVS Caremark. All rights reserved.</w:t>
    </w:r>
  </w:p>
  <w:p w14:paraId="74BACAED" w14:textId="7DAD8F61" w:rsidR="00D015E7" w:rsidRPr="004159B2" w:rsidRDefault="00D015E7" w:rsidP="00D015E7">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w:t>
    </w:r>
  </w:p>
  <w:p w14:paraId="72715146" w14:textId="627E9FAD" w:rsidR="00D015E7" w:rsidRPr="00A76BEF" w:rsidRDefault="00D015E7" w:rsidP="004A3006">
    <w:pPr>
      <w:autoSpaceDE w:val="0"/>
      <w:autoSpaceDN w:val="0"/>
      <w:adjustRightInd w:val="0"/>
      <w:jc w:val="center"/>
      <w:rPr>
        <w:rFonts w:ascii="Arial" w:hAnsi="Arial" w:cs="Arial"/>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sz w:val="16"/>
        <w:szCs w:val="16"/>
      </w:rPr>
      <w:t>2</w:t>
    </w:r>
    <w:r w:rsidRPr="004159B2">
      <w:rPr>
        <w:rFonts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0D93" w14:textId="280C59F7" w:rsidR="00635C4E" w:rsidRPr="002700EC" w:rsidRDefault="00635C4E" w:rsidP="002700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763B4" w14:textId="77777777" w:rsidR="002771FE" w:rsidRDefault="002771FE">
      <w:r>
        <w:separator/>
      </w:r>
    </w:p>
  </w:footnote>
  <w:footnote w:type="continuationSeparator" w:id="0">
    <w:p w14:paraId="6C22EA12" w14:textId="77777777" w:rsidR="002771FE" w:rsidRDefault="002771FE">
      <w:r>
        <w:continuationSeparator/>
      </w:r>
    </w:p>
  </w:footnote>
  <w:footnote w:type="continuationNotice" w:id="1">
    <w:p w14:paraId="068EE4B4" w14:textId="77777777" w:rsidR="002771FE" w:rsidRDefault="002771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BB3FA9" w14:paraId="16262E63" w14:textId="77777777" w:rsidTr="0006569F">
      <w:trPr>
        <w:trHeight w:val="144"/>
        <w:jc w:val="right"/>
      </w:trPr>
      <w:tc>
        <w:tcPr>
          <w:tcW w:w="1854" w:type="dxa"/>
          <w:hideMark/>
        </w:tcPr>
        <w:p w14:paraId="18F550B7" w14:textId="77777777" w:rsidR="00ED04EC" w:rsidRPr="004738B7" w:rsidRDefault="00ED04EC" w:rsidP="00ED04EC">
          <w:pPr>
            <w:pStyle w:val="Header"/>
            <w:rPr>
              <w:rFonts w:cs="Arial"/>
              <w:sz w:val="16"/>
              <w:szCs w:val="16"/>
            </w:rPr>
          </w:pPr>
          <w:r w:rsidRPr="004738B7">
            <w:rPr>
              <w:rFonts w:cs="Arial"/>
              <w:sz w:val="16"/>
              <w:szCs w:val="16"/>
            </w:rPr>
            <w:t>Reference number(s)</w:t>
          </w:r>
        </w:p>
      </w:tc>
    </w:tr>
    <w:tr w:rsidR="00ED04EC" w:rsidRPr="00BB3FA9" w14:paraId="703C6588" w14:textId="77777777" w:rsidTr="0006569F">
      <w:trPr>
        <w:trHeight w:val="378"/>
        <w:jc w:val="right"/>
      </w:trPr>
      <w:tc>
        <w:tcPr>
          <w:tcW w:w="1854" w:type="dxa"/>
          <w:hideMark/>
        </w:tcPr>
        <w:p w14:paraId="51CE3E64" w14:textId="1FAAFAB6" w:rsidR="00ED04EC" w:rsidRPr="004738B7" w:rsidRDefault="00E32058" w:rsidP="00ED04EC">
          <w:pPr>
            <w:pStyle w:val="Header"/>
            <w:rPr>
              <w:rFonts w:cs="Arial"/>
              <w:sz w:val="16"/>
              <w:szCs w:val="16"/>
            </w:rPr>
          </w:pPr>
          <w:r w:rsidRPr="004738B7">
            <w:rPr>
              <w:rFonts w:cs="Arial"/>
              <w:sz w:val="16"/>
              <w:szCs w:val="16"/>
            </w:rPr>
            <w:t>5102-A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35C4E" w:rsidRPr="00ED04EC" w14:paraId="69C61D51" w14:textId="77777777" w:rsidTr="00831BDF">
      <w:trPr>
        <w:trHeight w:val="144"/>
        <w:jc w:val="right"/>
      </w:trPr>
      <w:tc>
        <w:tcPr>
          <w:tcW w:w="1854" w:type="dxa"/>
          <w:hideMark/>
        </w:tcPr>
        <w:p w14:paraId="12F55B8E" w14:textId="77777777" w:rsidR="00635C4E" w:rsidRPr="00AA1E6A" w:rsidRDefault="00635C4E" w:rsidP="00635C4E">
          <w:pPr>
            <w:pStyle w:val="Header"/>
            <w:rPr>
              <w:rFonts w:ascii="Arial" w:hAnsi="Arial" w:cs="Arial"/>
              <w:sz w:val="16"/>
              <w:szCs w:val="16"/>
            </w:rPr>
          </w:pPr>
          <w:r w:rsidRPr="00AA1E6A">
            <w:rPr>
              <w:rFonts w:ascii="Arial" w:hAnsi="Arial" w:cs="Arial"/>
              <w:sz w:val="16"/>
              <w:szCs w:val="16"/>
            </w:rPr>
            <w:t>Reference number(s)</w:t>
          </w:r>
        </w:p>
      </w:tc>
    </w:tr>
    <w:tr w:rsidR="00635C4E" w:rsidRPr="00ED04EC" w14:paraId="1E609157" w14:textId="77777777" w:rsidTr="00831BDF">
      <w:trPr>
        <w:trHeight w:val="378"/>
        <w:jc w:val="right"/>
      </w:trPr>
      <w:tc>
        <w:tcPr>
          <w:tcW w:w="1854" w:type="dxa"/>
          <w:hideMark/>
        </w:tcPr>
        <w:p w14:paraId="705F983F" w14:textId="77777777" w:rsidR="00635C4E" w:rsidRPr="004C7F1D" w:rsidRDefault="00635C4E" w:rsidP="00635C4E">
          <w:pPr>
            <w:pStyle w:val="Header"/>
            <w:rPr>
              <w:rFonts w:ascii="Arial" w:hAnsi="Arial" w:cs="Arial"/>
              <w:sz w:val="16"/>
              <w:szCs w:val="16"/>
            </w:rPr>
          </w:pPr>
          <w:r w:rsidRPr="00E32058">
            <w:rPr>
              <w:rFonts w:ascii="Arial" w:hAnsi="Arial" w:cs="Arial"/>
              <w:sz w:val="16"/>
              <w:szCs w:val="16"/>
            </w:rPr>
            <w:t>5102-A</w:t>
          </w:r>
        </w:p>
      </w:tc>
    </w:tr>
  </w:tbl>
  <w:p w14:paraId="426AB6D8" w14:textId="77777777" w:rsidR="00635C4E" w:rsidRPr="00635C4E" w:rsidRDefault="00635C4E">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43135B"/>
    <w:multiLevelType w:val="hybridMultilevel"/>
    <w:tmpl w:val="68BA0090"/>
    <w:lvl w:ilvl="0" w:tplc="04090015">
      <w:start w:val="1"/>
      <w:numFmt w:val="upperLetter"/>
      <w:lvlText w:val="%1."/>
      <w:lvlJc w:val="left"/>
      <w:pPr>
        <w:ind w:left="1080" w:hanging="360"/>
      </w:pPr>
      <w:rPr>
        <w:rFonts w:hint="default"/>
        <w:vertAlign w:val="baseli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1A36CE2"/>
    <w:multiLevelType w:val="hybridMultilevel"/>
    <w:tmpl w:val="17321FE0"/>
    <w:lvl w:ilvl="0" w:tplc="0409000F">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4A100F"/>
    <w:multiLevelType w:val="hybridMultilevel"/>
    <w:tmpl w:val="60CE137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4966C4F"/>
    <w:multiLevelType w:val="hybridMultilevel"/>
    <w:tmpl w:val="CCCC57D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32E5FF8"/>
    <w:multiLevelType w:val="hybridMultilevel"/>
    <w:tmpl w:val="BD5E5FC0"/>
    <w:lvl w:ilvl="0" w:tplc="FFFFFFFF">
      <w:start w:val="1"/>
      <w:numFmt w:val="decimal"/>
      <w:lvlText w:val="%1."/>
      <w:lvlJc w:val="left"/>
      <w:pPr>
        <w:ind w:left="1440" w:hanging="360"/>
      </w:pPr>
      <w:rPr>
        <w:rFonts w:hint="default"/>
        <w:vertAlign w:val="baseline"/>
      </w:rPr>
    </w:lvl>
    <w:lvl w:ilvl="1" w:tplc="E1B0C404">
      <w:start w:val="1"/>
      <w:numFmt w:val="lowerRoman"/>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2C863EA7"/>
    <w:multiLevelType w:val="hybridMultilevel"/>
    <w:tmpl w:val="09704AA4"/>
    <w:lvl w:ilvl="0" w:tplc="40090001">
      <w:start w:val="1"/>
      <w:numFmt w:val="bullet"/>
      <w:lvlText w:val=""/>
      <w:lvlJc w:val="left"/>
      <w:pPr>
        <w:ind w:left="-720" w:hanging="360"/>
      </w:pPr>
      <w:rPr>
        <w:rFonts w:ascii="Symbol" w:hAnsi="Symbol" w:hint="default"/>
      </w:rPr>
    </w:lvl>
    <w:lvl w:ilvl="1" w:tplc="FFFFFFFF">
      <w:start w:val="1"/>
      <w:numFmt w:val="lowerLetter"/>
      <w:lvlText w:val="%2."/>
      <w:lvlJc w:val="left"/>
      <w:pPr>
        <w:ind w:left="0" w:hanging="360"/>
      </w:pPr>
    </w:lvl>
    <w:lvl w:ilvl="2" w:tplc="FFFFFFFF">
      <w:start w:val="1"/>
      <w:numFmt w:val="lowerRoman"/>
      <w:lvlText w:val="%3."/>
      <w:lvlJc w:val="right"/>
      <w:pPr>
        <w:ind w:left="720" w:hanging="180"/>
      </w:pPr>
    </w:lvl>
    <w:lvl w:ilvl="3" w:tplc="FFFFFFFF">
      <w:start w:val="1"/>
      <w:numFmt w:val="decimal"/>
      <w:lvlText w:val="%4."/>
      <w:lvlJc w:val="left"/>
      <w:pPr>
        <w:ind w:left="144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2880" w:hanging="180"/>
      </w:pPr>
    </w:lvl>
    <w:lvl w:ilvl="6" w:tplc="FFFFFFFF" w:tentative="1">
      <w:start w:val="1"/>
      <w:numFmt w:val="decimal"/>
      <w:lvlText w:val="%7."/>
      <w:lvlJc w:val="left"/>
      <w:pPr>
        <w:ind w:left="3600" w:hanging="360"/>
      </w:pPr>
    </w:lvl>
    <w:lvl w:ilvl="7" w:tplc="FFFFFFFF" w:tentative="1">
      <w:start w:val="1"/>
      <w:numFmt w:val="lowerLetter"/>
      <w:lvlText w:val="%8."/>
      <w:lvlJc w:val="left"/>
      <w:pPr>
        <w:ind w:left="4320" w:hanging="360"/>
      </w:pPr>
    </w:lvl>
    <w:lvl w:ilvl="8" w:tplc="FFFFFFFF" w:tentative="1">
      <w:start w:val="1"/>
      <w:numFmt w:val="lowerRoman"/>
      <w:lvlText w:val="%9."/>
      <w:lvlJc w:val="right"/>
      <w:pPr>
        <w:ind w:left="5040" w:hanging="180"/>
      </w:pPr>
    </w:lvl>
  </w:abstractNum>
  <w:abstractNum w:abstractNumId="21" w15:restartNumberingAfterBreak="0">
    <w:nsid w:val="2EA53C05"/>
    <w:multiLevelType w:val="hybridMultilevel"/>
    <w:tmpl w:val="B00EB5AC"/>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1E3B13"/>
    <w:multiLevelType w:val="hybridMultilevel"/>
    <w:tmpl w:val="C428EF8A"/>
    <w:lvl w:ilvl="0" w:tplc="0409000F">
      <w:start w:val="1"/>
      <w:numFmt w:val="decimal"/>
      <w:lvlText w:val="%1."/>
      <w:lvlJc w:val="left"/>
      <w:pPr>
        <w:ind w:left="1440" w:hanging="360"/>
      </w:pPr>
      <w:rPr>
        <w:rFonts w:hint="default"/>
        <w:vertAlign w:val="baseli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BD2F9C"/>
    <w:multiLevelType w:val="hybridMultilevel"/>
    <w:tmpl w:val="63CAD5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F84332"/>
    <w:multiLevelType w:val="hybridMultilevel"/>
    <w:tmpl w:val="7C94D91E"/>
    <w:lvl w:ilvl="0" w:tplc="04090015">
      <w:start w:val="1"/>
      <w:numFmt w:val="upperLetter"/>
      <w:lvlText w:val="%1."/>
      <w:lvlJc w:val="left"/>
      <w:pPr>
        <w:ind w:left="-720" w:hanging="360"/>
      </w:pPr>
    </w:lvl>
    <w:lvl w:ilvl="1" w:tplc="04090019">
      <w:start w:val="1"/>
      <w:numFmt w:val="lowerLetter"/>
      <w:lvlText w:val="%2."/>
      <w:lvlJc w:val="left"/>
      <w:pPr>
        <w:ind w:left="0" w:hanging="360"/>
      </w:p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0A1CF7"/>
    <w:multiLevelType w:val="hybridMultilevel"/>
    <w:tmpl w:val="DA404106"/>
    <w:lvl w:ilvl="0" w:tplc="40090005">
      <w:start w:val="1"/>
      <w:numFmt w:val="bullet"/>
      <w:lvlText w:val=""/>
      <w:lvlJc w:val="left"/>
      <w:pPr>
        <w:ind w:left="2880" w:hanging="360"/>
      </w:pPr>
      <w:rPr>
        <w:rFonts w:ascii="Wingdings" w:hAnsi="Wingdings" w:hint="default"/>
      </w:rPr>
    </w:lvl>
    <w:lvl w:ilvl="1" w:tplc="FFFFFFFF">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9B2947"/>
    <w:multiLevelType w:val="hybridMultilevel"/>
    <w:tmpl w:val="0F28BADC"/>
    <w:lvl w:ilvl="0" w:tplc="FFFFFFFF">
      <w:start w:val="1"/>
      <w:numFmt w:val="decimal"/>
      <w:lvlText w:val="%1."/>
      <w:lvlJc w:val="left"/>
      <w:pPr>
        <w:ind w:left="1440" w:hanging="360"/>
      </w:pPr>
    </w:lvl>
    <w:lvl w:ilvl="1" w:tplc="E1B0C404">
      <w:start w:val="1"/>
      <w:numFmt w:val="lowerRoman"/>
      <w:lvlText w:val="%2."/>
      <w:lvlJc w:val="left"/>
      <w:pPr>
        <w:ind w:left="2160" w:hanging="360"/>
      </w:pPr>
      <w:rPr>
        <w:rFonts w:hint="default"/>
      </w:r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F4E2F0D"/>
    <w:multiLevelType w:val="hybridMultilevel"/>
    <w:tmpl w:val="9410A29A"/>
    <w:lvl w:ilvl="0" w:tplc="40090005">
      <w:start w:val="1"/>
      <w:numFmt w:val="bullet"/>
      <w:lvlText w:val=""/>
      <w:lvlJc w:val="left"/>
      <w:pPr>
        <w:ind w:left="3240" w:hanging="360"/>
      </w:pPr>
      <w:rPr>
        <w:rFonts w:ascii="Wingdings" w:hAnsi="Wingdings" w:hint="default"/>
        <w:vertAlign w:val="baseline"/>
      </w:r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num w:numId="1" w16cid:durableId="1264921869">
    <w:abstractNumId w:val="13"/>
  </w:num>
  <w:num w:numId="2" w16cid:durableId="606935877">
    <w:abstractNumId w:val="33"/>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3"/>
  </w:num>
  <w:num w:numId="17" w16cid:durableId="2128498676">
    <w:abstractNumId w:val="37"/>
  </w:num>
  <w:num w:numId="18" w16cid:durableId="299724409">
    <w:abstractNumId w:val="30"/>
  </w:num>
  <w:num w:numId="19" w16cid:durableId="214585573">
    <w:abstractNumId w:val="17"/>
  </w:num>
  <w:num w:numId="20" w16cid:durableId="1289816170">
    <w:abstractNumId w:val="18"/>
  </w:num>
  <w:num w:numId="21" w16cid:durableId="1066490929">
    <w:abstractNumId w:val="38"/>
  </w:num>
  <w:num w:numId="22" w16cid:durableId="1472481103">
    <w:abstractNumId w:val="32"/>
  </w:num>
  <w:num w:numId="23" w16cid:durableId="1997420403">
    <w:abstractNumId w:val="35"/>
  </w:num>
  <w:num w:numId="24" w16cid:durableId="33312838">
    <w:abstractNumId w:val="31"/>
  </w:num>
  <w:num w:numId="25" w16cid:durableId="507404939">
    <w:abstractNumId w:val="22"/>
  </w:num>
  <w:num w:numId="26" w16cid:durableId="1950313333">
    <w:abstractNumId w:val="26"/>
  </w:num>
  <w:num w:numId="27" w16cid:durableId="1866016584">
    <w:abstractNumId w:val="25"/>
  </w:num>
  <w:num w:numId="28" w16cid:durableId="1172525383">
    <w:abstractNumId w:val="10"/>
  </w:num>
  <w:num w:numId="29" w16cid:durableId="2130318842">
    <w:abstractNumId w:val="24"/>
  </w:num>
  <w:num w:numId="30" w16cid:durableId="2114084708">
    <w:abstractNumId w:val="27"/>
  </w:num>
  <w:num w:numId="31" w16cid:durableId="1300383696">
    <w:abstractNumId w:val="39"/>
  </w:num>
  <w:num w:numId="32" w16cid:durableId="76678245">
    <w:abstractNumId w:val="29"/>
  </w:num>
  <w:num w:numId="33" w16cid:durableId="1776905782">
    <w:abstractNumId w:val="11"/>
  </w:num>
  <w:num w:numId="34" w16cid:durableId="1171870675">
    <w:abstractNumId w:val="20"/>
  </w:num>
  <w:num w:numId="35" w16cid:durableId="1599754965">
    <w:abstractNumId w:val="34"/>
  </w:num>
  <w:num w:numId="36" w16cid:durableId="997659140">
    <w:abstractNumId w:val="14"/>
  </w:num>
  <w:num w:numId="37" w16cid:durableId="42798051">
    <w:abstractNumId w:val="19"/>
  </w:num>
  <w:num w:numId="38" w16cid:durableId="79642895">
    <w:abstractNumId w:val="36"/>
  </w:num>
  <w:num w:numId="39" w16cid:durableId="870606826">
    <w:abstractNumId w:val="21"/>
  </w:num>
  <w:num w:numId="40" w16cid:durableId="663357623">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DB3"/>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1B6"/>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DD2"/>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2D4B"/>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1E08"/>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93B"/>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0EC"/>
    <w:rsid w:val="002708AE"/>
    <w:rsid w:val="00271357"/>
    <w:rsid w:val="00272160"/>
    <w:rsid w:val="00272D78"/>
    <w:rsid w:val="00273E66"/>
    <w:rsid w:val="00273FEB"/>
    <w:rsid w:val="002754FA"/>
    <w:rsid w:val="00276114"/>
    <w:rsid w:val="0027637A"/>
    <w:rsid w:val="002763A4"/>
    <w:rsid w:val="002765AF"/>
    <w:rsid w:val="00276AF9"/>
    <w:rsid w:val="002771FE"/>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4FA"/>
    <w:rsid w:val="00293574"/>
    <w:rsid w:val="00294324"/>
    <w:rsid w:val="002946D4"/>
    <w:rsid w:val="002947C0"/>
    <w:rsid w:val="002965CE"/>
    <w:rsid w:val="00296EC3"/>
    <w:rsid w:val="00297405"/>
    <w:rsid w:val="002A02BE"/>
    <w:rsid w:val="002A0A3B"/>
    <w:rsid w:val="002A0DB7"/>
    <w:rsid w:val="002A0F12"/>
    <w:rsid w:val="002A1602"/>
    <w:rsid w:val="002A1A1C"/>
    <w:rsid w:val="002A1EC6"/>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2DE9"/>
    <w:rsid w:val="002D35B0"/>
    <w:rsid w:val="002D49E5"/>
    <w:rsid w:val="002D6257"/>
    <w:rsid w:val="002D6987"/>
    <w:rsid w:val="002E030E"/>
    <w:rsid w:val="002E06B0"/>
    <w:rsid w:val="002E15A0"/>
    <w:rsid w:val="002E1D9A"/>
    <w:rsid w:val="002E254D"/>
    <w:rsid w:val="002E362E"/>
    <w:rsid w:val="002E3C61"/>
    <w:rsid w:val="002E3D87"/>
    <w:rsid w:val="002E46A9"/>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EAA"/>
    <w:rsid w:val="00305F83"/>
    <w:rsid w:val="00306B2E"/>
    <w:rsid w:val="003070FF"/>
    <w:rsid w:val="00307475"/>
    <w:rsid w:val="00307499"/>
    <w:rsid w:val="00307DCC"/>
    <w:rsid w:val="003116A8"/>
    <w:rsid w:val="003127DD"/>
    <w:rsid w:val="00312E1C"/>
    <w:rsid w:val="00313EB3"/>
    <w:rsid w:val="00313FC5"/>
    <w:rsid w:val="00315003"/>
    <w:rsid w:val="00315D6F"/>
    <w:rsid w:val="00316CB3"/>
    <w:rsid w:val="00316DC1"/>
    <w:rsid w:val="00320652"/>
    <w:rsid w:val="003213DE"/>
    <w:rsid w:val="00321446"/>
    <w:rsid w:val="00322EB1"/>
    <w:rsid w:val="00323534"/>
    <w:rsid w:val="003242E2"/>
    <w:rsid w:val="003254F4"/>
    <w:rsid w:val="00325919"/>
    <w:rsid w:val="003262EA"/>
    <w:rsid w:val="0032667A"/>
    <w:rsid w:val="0032669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0FB3"/>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DC4"/>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32B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38B7"/>
    <w:rsid w:val="004743C0"/>
    <w:rsid w:val="00474CA4"/>
    <w:rsid w:val="00474E36"/>
    <w:rsid w:val="00475D6D"/>
    <w:rsid w:val="004763E4"/>
    <w:rsid w:val="00476490"/>
    <w:rsid w:val="0047697B"/>
    <w:rsid w:val="00476C5C"/>
    <w:rsid w:val="00477751"/>
    <w:rsid w:val="00480100"/>
    <w:rsid w:val="00480B9F"/>
    <w:rsid w:val="00481302"/>
    <w:rsid w:val="00481604"/>
    <w:rsid w:val="00481D57"/>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006"/>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A74"/>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02"/>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014"/>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3BF"/>
    <w:rsid w:val="00565A82"/>
    <w:rsid w:val="00565D50"/>
    <w:rsid w:val="00566202"/>
    <w:rsid w:val="00566784"/>
    <w:rsid w:val="00566819"/>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5F79E7"/>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5C4E"/>
    <w:rsid w:val="00636D27"/>
    <w:rsid w:val="00637364"/>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5786"/>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ADF"/>
    <w:rsid w:val="00775C9E"/>
    <w:rsid w:val="00777595"/>
    <w:rsid w:val="007775AA"/>
    <w:rsid w:val="00777708"/>
    <w:rsid w:val="007778B0"/>
    <w:rsid w:val="00777BDA"/>
    <w:rsid w:val="007806BF"/>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1A"/>
    <w:rsid w:val="007A05B6"/>
    <w:rsid w:val="007A141E"/>
    <w:rsid w:val="007A1AA9"/>
    <w:rsid w:val="007A3667"/>
    <w:rsid w:val="007A56B7"/>
    <w:rsid w:val="007A5CEC"/>
    <w:rsid w:val="007A61F8"/>
    <w:rsid w:val="007A7386"/>
    <w:rsid w:val="007A7861"/>
    <w:rsid w:val="007B01B5"/>
    <w:rsid w:val="007B0229"/>
    <w:rsid w:val="007B0BFE"/>
    <w:rsid w:val="007B15B4"/>
    <w:rsid w:val="007B1B62"/>
    <w:rsid w:val="007B1C22"/>
    <w:rsid w:val="007B24BC"/>
    <w:rsid w:val="007B3C6A"/>
    <w:rsid w:val="007B41A6"/>
    <w:rsid w:val="007B4652"/>
    <w:rsid w:val="007B4FD7"/>
    <w:rsid w:val="007B5F56"/>
    <w:rsid w:val="007B7B09"/>
    <w:rsid w:val="007B7C01"/>
    <w:rsid w:val="007C1B6C"/>
    <w:rsid w:val="007C28C7"/>
    <w:rsid w:val="007C29E1"/>
    <w:rsid w:val="007C2CEC"/>
    <w:rsid w:val="007C3391"/>
    <w:rsid w:val="007C4D57"/>
    <w:rsid w:val="007C4F4F"/>
    <w:rsid w:val="007C5719"/>
    <w:rsid w:val="007C5812"/>
    <w:rsid w:val="007C70BD"/>
    <w:rsid w:val="007C74F4"/>
    <w:rsid w:val="007D01FF"/>
    <w:rsid w:val="007D151B"/>
    <w:rsid w:val="007D16A4"/>
    <w:rsid w:val="007D1C72"/>
    <w:rsid w:val="007D1E64"/>
    <w:rsid w:val="007D223D"/>
    <w:rsid w:val="007D3BE5"/>
    <w:rsid w:val="007D5505"/>
    <w:rsid w:val="007D5B5D"/>
    <w:rsid w:val="007D68CB"/>
    <w:rsid w:val="007D73FA"/>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093D"/>
    <w:rsid w:val="007F11E6"/>
    <w:rsid w:val="007F20FF"/>
    <w:rsid w:val="007F2388"/>
    <w:rsid w:val="007F2641"/>
    <w:rsid w:val="007F280C"/>
    <w:rsid w:val="007F2FAC"/>
    <w:rsid w:val="007F349F"/>
    <w:rsid w:val="007F475E"/>
    <w:rsid w:val="007F5BA5"/>
    <w:rsid w:val="007F6891"/>
    <w:rsid w:val="007F7D02"/>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A7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4408"/>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DCC"/>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0E"/>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2225"/>
    <w:rsid w:val="009B35DC"/>
    <w:rsid w:val="009B3740"/>
    <w:rsid w:val="009B579E"/>
    <w:rsid w:val="009B5866"/>
    <w:rsid w:val="009B5A24"/>
    <w:rsid w:val="009B6153"/>
    <w:rsid w:val="009B7708"/>
    <w:rsid w:val="009C0A23"/>
    <w:rsid w:val="009C1538"/>
    <w:rsid w:val="009C2E32"/>
    <w:rsid w:val="009C3C50"/>
    <w:rsid w:val="009C4B9D"/>
    <w:rsid w:val="009C4E1E"/>
    <w:rsid w:val="009C595B"/>
    <w:rsid w:val="009C6673"/>
    <w:rsid w:val="009C6CB5"/>
    <w:rsid w:val="009C6CFE"/>
    <w:rsid w:val="009C6EE9"/>
    <w:rsid w:val="009C7D3E"/>
    <w:rsid w:val="009D0B0C"/>
    <w:rsid w:val="009D0C37"/>
    <w:rsid w:val="009D2D63"/>
    <w:rsid w:val="009D459D"/>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367A"/>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181C"/>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67CF2"/>
    <w:rsid w:val="00A70D4D"/>
    <w:rsid w:val="00A719BF"/>
    <w:rsid w:val="00A7382E"/>
    <w:rsid w:val="00A73BA2"/>
    <w:rsid w:val="00A73F3E"/>
    <w:rsid w:val="00A7400C"/>
    <w:rsid w:val="00A74222"/>
    <w:rsid w:val="00A74387"/>
    <w:rsid w:val="00A74A95"/>
    <w:rsid w:val="00A7520F"/>
    <w:rsid w:val="00A75835"/>
    <w:rsid w:val="00A75DAC"/>
    <w:rsid w:val="00A76771"/>
    <w:rsid w:val="00A76BEF"/>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B7EF0"/>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3AD8"/>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4EAE"/>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595"/>
    <w:rsid w:val="00BB2668"/>
    <w:rsid w:val="00BB3275"/>
    <w:rsid w:val="00BB3604"/>
    <w:rsid w:val="00BB379D"/>
    <w:rsid w:val="00BB3F6D"/>
    <w:rsid w:val="00BB3FA9"/>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41"/>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4BE9"/>
    <w:rsid w:val="00CF5BAA"/>
    <w:rsid w:val="00CF634A"/>
    <w:rsid w:val="00CF7282"/>
    <w:rsid w:val="00CF7853"/>
    <w:rsid w:val="00D009CC"/>
    <w:rsid w:val="00D015E2"/>
    <w:rsid w:val="00D015E7"/>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6DE7"/>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3BF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492"/>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05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31D"/>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6FA0"/>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941"/>
    <w:rsid w:val="00F70D49"/>
    <w:rsid w:val="00F718A3"/>
    <w:rsid w:val="00F71DC9"/>
    <w:rsid w:val="00F729CF"/>
    <w:rsid w:val="00F72FC2"/>
    <w:rsid w:val="00F7486E"/>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930"/>
    <w:rsid w:val="00F859EC"/>
    <w:rsid w:val="00F85AEE"/>
    <w:rsid w:val="00F863D0"/>
    <w:rsid w:val="00F864AB"/>
    <w:rsid w:val="00F86554"/>
    <w:rsid w:val="00F87688"/>
    <w:rsid w:val="00F877F0"/>
    <w:rsid w:val="00F87AB7"/>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4DE4"/>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E1F6B7A9-C439-4A36-ACAD-9AD4A1A19BFA}"/>
</file>

<file path=docProps/app.xml><?xml version="1.0" encoding="utf-8"?>
<Properties xmlns="http://schemas.openxmlformats.org/officeDocument/2006/extended-properties" xmlns:vt="http://schemas.openxmlformats.org/officeDocument/2006/docPropsVTypes">
  <Template>Normal.dotm</Template>
  <TotalTime>1</TotalTime>
  <Pages>4</Pages>
  <Words>843</Words>
  <Characters>5422</Characters>
  <Application>Microsoft Office Word</Application>
  <DocSecurity>0</DocSecurity>
  <Lines>108</Lines>
  <Paragraphs>72</Paragraphs>
  <ScaleCrop>false</ScaleCrop>
  <HeadingPairs>
    <vt:vector size="2" baseType="variant">
      <vt:variant>
        <vt:lpstr>Title</vt:lpstr>
      </vt:variant>
      <vt:variant>
        <vt:i4>1</vt:i4>
      </vt:variant>
    </vt:vector>
  </HeadingPairs>
  <TitlesOfParts>
    <vt:vector size="1" baseType="lpstr">
      <vt:lpstr>Vyvgart-Vyvgart Hytrulo 5102-A SGM 2024.docx</vt:lpstr>
    </vt:vector>
  </TitlesOfParts>
  <Company>PCS Health Systems</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CVS Caremark</dc:creator>
  <cp:keywords/>
  <cp:lastModifiedBy>Clark, Shannon I</cp:lastModifiedBy>
  <cp:revision>3</cp:revision>
  <cp:lastPrinted>2018-01-09T05:01:00Z</cp:lastPrinted>
  <dcterms:created xsi:type="dcterms:W3CDTF">2025-01-03T00:58:00Z</dcterms:created>
  <dcterms:modified xsi:type="dcterms:W3CDTF">2025-01-03T00:59:00Z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851300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